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07:06 МСК · База обновлена: 22.07.2026, 11:02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31 года обратился к урологу по месту жительства. Ранее урологами не наблюдался.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дискомфорт в левой поясничной области, повышение АД до 140/80 мм.рт.ст.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 анамнеза известно, что при плановом обследовании по поводу Артериальной гипертензии у пациента выявлено расширение ЧЛС слева. Консультирован в ЦРБ по месту жительства, предложена нефрэктомия слева, от предложенного лечения пациент воздержался. С целью оценки функции почек и восстановления оттока мочи из левой почки выполнено дренирование верхних мочевых путей мочеточниковым стентом. Настоящее обращение для обследования и определения дальнейшей тактики лечения.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заболевания: ОРВИ, ангины. Гепатит В, гепатит С, ВИЧ, сифилис, инфаркты, инсульты, язвы желудка и 12 перстной кишки, сахарный диабет, туберкулез – отрицает.</w:t>
      </w:r>
    </w:p>
    <w:p>
      <w:pPr>
        <w:spacing w:after="58"/>
      </w:pPr>
      <w:r>
        <w:rPr>
          <w:b w:val="0"/>
          <w:i w:val="0"/>
        </w:rPr>
        <w:t>* Операции: дренирование ВМП слева мочеточниковым стентом.</w:t>
      </w:r>
    </w:p>
    <w:p>
      <w:pPr>
        <w:spacing w:after="58"/>
      </w:pPr>
      <w:r>
        <w:rPr>
          <w:b w:val="0"/>
          <w:i w:val="0"/>
        </w:rPr>
        <w:t>* Травмы: компрессионный перелом шейных позвонков C6-C7 в возрасте 14 лет.</w:t>
      </w:r>
    </w:p>
    <w:p>
      <w:pPr>
        <w:spacing w:after="58"/>
      </w:pPr>
      <w:r>
        <w:rPr>
          <w:b w:val="0"/>
          <w:i w:val="0"/>
        </w:rPr>
        <w:t>* Страдает ГБ, терапии не принимает.</w:t>
      </w:r>
    </w:p>
    <w:p>
      <w:pPr>
        <w:spacing w:after="58"/>
      </w:pPr>
      <w:r>
        <w:rPr>
          <w:b w:val="0"/>
          <w:i w:val="0"/>
        </w:rPr>
        <w:t>* Вредных привычек нет.</w:t>
      </w:r>
    </w:p>
    <w:p>
      <w:pPr>
        <w:spacing w:after="58"/>
      </w:pPr>
      <w:r>
        <w:rPr>
          <w:b w:val="0"/>
          <w:i w:val="0"/>
        </w:rPr>
        <w:t>* Аллергические реакции на лекарственные препараты: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относительно удовлетворительное. Рост 185 см, вес 86 кг. Температура тела 36,8 °С. Кожные покровы и слизистые физиологической окраски и влажности. Брюшной тип дыхания, ЧСС-18/мин. Тоны сердца ясные, ритмичные, ЧСС 62/мин, АД 130/80. Живот мягкий, безболезненный при пальпации, не вздут.</w:t>
      </w:r>
    </w:p>
    <w:p>
      <w:pPr>
        <w:spacing w:after="58"/>
      </w:pPr>
      <w:r>
        <w:rPr>
          <w:b w:val="0"/>
          <w:i w:val="0"/>
        </w:rPr>
        <w:t>_Локальный статус:_</w:t>
      </w:r>
    </w:p>
    <w:p>
      <w:pPr>
        <w:spacing w:after="58"/>
      </w:pPr>
      <w:r>
        <w:rPr>
          <w:b w:val="0"/>
          <w:i w:val="0"/>
        </w:rPr>
        <w:t>Поясничная область визуально не изменена. Симптом поколачивания отрицательный с обеих сторон. Пальпируемых образований в поясничной области не выявлено. Наружные половые органы развиты правильно, без особенностей, яички пальпируются в мошонке, обычных размеров и консистенции, безболезненные, патологических образований не выявлено. Наружное отверстие уретры расположено в типичном месте, патологический выделений не выявлено. Мочеиспускание свободное, безболезненное. Моча визуально не изменена.</w:t>
      </w:r>
    </w:p>
    <w:p>
      <w:pPr>
        <w:spacing w:after="58"/>
      </w:pPr>
      <w:r>
        <w:rPr>
          <w:b w:val="0"/>
          <w:i w:val="0"/>
        </w:rPr>
        <w:t>_Per rectum_: простата не увеличена в размерах, безболезненна, плотно-эластической консистенции, определяется срединная бороздка.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лабораторным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скорости клубочковой фильтрации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коагулограмму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цитологический анализ мочи на атипические клетки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общий анализ мочи; 2 — биохимический анализ крови</w:t>
      </w:r>
    </w:p>
    <w:p>
      <w:pPr>
        <w:ind w:left="504"/>
      </w:pPr>
      <w:r>
        <w:rPr>
          <w:b w:val="0"/>
          <w:i/>
        </w:rPr>
        <w:t>* Всем пациентам с подозрением на гидронефроз рекомендуется выполнение общего анализа мочи для исключения инфекции мочеполовых путей.</w:t>
        <w:br/>
        <w:br/>
        <w:t>*Комментарии:* клинический анализ мочи при гидронефрозе обычно без отклонений от нормативных величин, но присутствие белых кровяных телец (лейкоцитурия) и красных кровяных телец (гематурия) может свидетельствовать о наличии мочекаменной болезни или опухоли, которые нередко являются причинами обструкции и в дальнейшем гидронефроза, или же, когда обструкция мочевых путей осложняется инфицированием. Пиурия (наличие гноя) свидетельствует о наличии инфекции мочеполовых путей. Микроскопическая гематурия указывает на наличие камня или опухоли в мочевыделительной системе.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* Рекомендуется выполнять биохимический анализ крови.</w:t>
        <w:br/>
        <w:br/>
        <w:t>*Комментарии:* в биохимическом анализе крови функция почек определяется по следующим показателям – креатинин, мочевина, альбумин, электролиты (калий, натрий, хлориды). При двустороннем гидронефрозе могут быть диагностированы: повышение уровня креатинина и мочевины крови, изменения электролитов крови (повышение или снижение калия, натрия, хлоридов), свидетельствующие о нарушении функции почек (почечная недостаточность). Кроме того, гиперкалиемия, вследствие гидронефроза, является жизнеугрожающим состоянием.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в настоящее время основными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(мультиспиральная)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хромоцистоскопия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органов забрюшинного пространства (почек),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МРТ почек и забрюшинного пространства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компьютерная томография (мультиспиральная) с контрастированием; 4 — ультразвуковое исследование органов забрюшинного пространства (почек), мочевого пузыря</w:t>
      </w:r>
    </w:p>
    <w:p>
      <w:pPr>
        <w:ind w:left="504"/>
      </w:pPr>
      <w:r>
        <w:rPr>
          <w:b w:val="0"/>
          <w:i/>
        </w:rPr>
        <w:t>* Рекомендуется выполнение спиральной компьютерной томографии (СКТ) с контрастным усилением функционального состояния верхних мочевых путей, тяжести атрофических процессов в паренхиме на фоне обструкции ЛМС, а также выявления возможных внешних причин ГН (аберрантных или сегментарных сосудов, ретрокавального расположения мочеточника).</w:t>
        <w:br/>
        <w:br/>
        <w:t>*Комментарии:* МСКТ предоставляет информацию о функции пораженной почки и анатомии ВМП и окружающих тканей. Предпринимаются попытки использовать компьютерную томографию для оценки функции почек по толщине паренхиматозной ткани. В дооперационной диагностике стеноза (обструкции) ЛМС МСКТ имеет 98 % чувствительность и 100 %, специфичность . В дооперационной диагностике уровазального (вазоуретерального) конфликта МСКТ имеет 91% чувствительность и 100% специфичность. В настоящее время МСКТ является ведущим рентгенологическим методом диагностики ГН.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* Рекомендуется выполнение ультразвукового исследования почек (УЗИ) всем пациентам для подтверждения и определения степени гидронефроза, оценки состояния паренхимы пораженной и контралатеральной почки.</w:t>
        <w:br/>
        <w:br/>
        <w:t>*Комментарии:* УЗИ занимает первое место применяемых для выявления стеноза ЛМС, ГН. Однако, данная методика не дает информацию о накопительно-выделительной функции почек. Поскольку расширение ЧЛС не всегда является результатом стеноза ЛМС, ультразвуковое исследование может оказаться ложноположительным. УЗИ может быть рекомендовано как метод динамического наблюдения за пациентами, перенесшими реконструктивно-пластические или эндоскопические операции путем измерения переднезаднего диаметра (ПЗД) лоханки до и после хирургического пособия.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Дополнительным методом исследования, необходимым для постановки диагноза,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антеградная пиелоуретерография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ультразвуковая допплерография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нефросцинтиграфия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нефросцинтиграфия</w:t>
      </w:r>
    </w:p>
    <w:p>
      <w:pPr>
        <w:ind w:left="504"/>
      </w:pPr>
      <w:r>
        <w:rPr>
          <w:b w:val="0"/>
          <w:i/>
        </w:rPr>
        <w:t>* Рекомендуется выполнение нефросцинтиграфии пациентам для определения нарушения функции поражённой почки; характера выведения радиофармпрепарата из ВМП; состояния контралатеральной почки.</w:t>
        <w:br/>
        <w:br/>
        <w:t>*Комментарии:* данная методика позволяет получить информацию о состоянии накопительно-выделительной функции паренхимы почек и ВМП на до- и послеоперационном этапе.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методов обследования данному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Пиелоэктазия слева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Гидронефроз слева со стриктурой мочеточника, не классифицированный в других рубриках (3А стадия)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Болезнь Ормонда. Облитеранция лоханочно-мочеточникового сегмента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Парапельвикальные кисты левой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Гидронефроз слева со стриктурой мочеточника, не классифицированный в других рубриках (3А стадия)</w:t>
      </w:r>
    </w:p>
    <w:p>
      <w:pPr>
        <w:ind w:left="504"/>
      </w:pPr>
      <w:r>
        <w:rPr>
          <w:b w:val="0"/>
          <w:i/>
        </w:rPr>
        <w:t>Для оценки выраженности гидронефротической трансформации (ГНТ) в России наиболее распространена классификация, предложенная академиком Н.А. Лопаткиным (1969), согласно которой выделяют три стадии гидронефроза, но при этом третью –подразделяют на две подстадии 3А и 3Б:</w:t>
        <w:br/>
        <w:br/>
        <w:t>1-я стадия – начальный гидронефроз, характеризующийся пиелоэктазией без развития значимого гидрокаликоза и нарушения функции почки;</w:t>
        <w:br/>
        <w:br/>
        <w:t>2-я стадия – ранний гидронефроз, при котором расширение ЧЛС сопровождается ухудшением функции почки;</w:t>
        <w:br/>
        <w:br/>
        <w:t>3-я (А и Б) стадия – терминальный гидронефроз, характеризующийся значительным расширением чашечно-лоханочной системы и существенным снижение почечной функции. 3А стадия гидронефроза потенциально обратима, при 3Б стадии гидронефроза почечная паренхима атрофируется; изменения необратимы.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показано(а)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эндоскопическая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динамическое наблюдение за пациентом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лапароскопическая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нефрэктомия слева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лапароскопическая пиелопластика слева</w:t>
      </w:r>
    </w:p>
    <w:p>
      <w:pPr>
        <w:ind w:left="504"/>
      </w:pPr>
      <w:r>
        <w:rPr>
          <w:b w:val="0"/>
          <w:i/>
        </w:rPr>
        <w:t>* Рекомендуется выполнение лапароскопических и ретроперитонеоскопических операций у пациентов со стенозом ЛМС и ГН.</w:t>
        <w:br/>
        <w:br/>
        <w:t>*Комментарии:* в настоящее время золотым стандартом лечения гидронефроза считается лапароскопическая пиелопластика. Основными преимуществами методики считают не значимую кровопотерю, низкую послеоперационную морбидность, хороший косметический эффект и сопоставимые результаты с открытыми пиелопластиками. Данный хирургический доступ показал свою эффективность как у детей &lt;1 года, так и у пожилых пациентов (&gt;70 лет). В крупных исследованиях эффективность методики составляет от 85 до 100% . Операция может быть осуществлена трансперитонеально или экстраперитонеально. В проведенных исследованиях, сравнивающих данные доступы, различий в послеоперационных функциональных результатах не выявлено, однако, для выполнения пиелопластики ретроперитонеоскопическим доступом требуется больше временных затрат.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Показанием к органосохраняющему оперативному пособию по восстановлению лоханочно-мочеточникового сегмента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сохранная функция левой почки при нефросцинтиграфии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достаточная толщина почечной паренхимы при УЗИ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низкий уровень креатинина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размеры лоханки в диапазоне 20-30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сохранная функция левой почки при нефросцинтиграфии</w:t>
      </w:r>
    </w:p>
    <w:p>
      <w:pPr>
        <w:ind w:left="504"/>
      </w:pPr>
      <w:r>
        <w:rPr>
          <w:b w:val="0"/>
          <w:i/>
        </w:rPr>
        <w:t>* Органосохраняющая операция выполняется при сохранной функции пораженной почки (стадии до 3Б)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Альтернативным методом хирургического лечения гидронефроза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открытая пиелопластика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установка мочеточникового катетера-стента на 1 месяц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установка нефростомического дренажа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перкутанная уретеропиелотомия слева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открытая пиелопластика слева</w:t>
      </w:r>
    </w:p>
    <w:p>
      <w:pPr>
        <w:ind w:left="504"/>
      </w:pPr>
      <w:r>
        <w:rPr>
          <w:b w:val="0"/>
          <w:i/>
        </w:rPr>
        <w:t>* Рекомендуется выполнение открытых пластических операций у пациентов со стенозом ЛМС и ГН.</w:t>
        <w:br/>
        <w:br/>
        <w:t>*Комментарии:* золотым стандартом лечения стеноза ЛМС, ГН долгие годы считалась открытая пиелопластика, осуществляемая через передний экстраперитонеальный или люмботомический доступ. Эффективность открытых пластических операций составляет от 95-100%.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Оптимальный срок удаления мочеточникового катетера-стента в послеоперационном периоде – через _____ после оперативного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4-6 недель</w:t>
      </w:r>
    </w:p>
    <w:p>
      <w:pPr>
        <w:ind w:left="504"/>
      </w:pPr>
      <w:r>
        <w:rPr>
          <w:b w:val="0"/>
          <w:i/>
        </w:rPr>
        <w:t>* Рекомендуется удаление внутреннего стента спустя 4–6 недель после эндоскопической, открытой или лапароскопической операции.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Наиболее оправданным методом инструментального исследования, необходимым для контроля в послеоперационном периоде,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экскреторная урография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почек и мочевых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ретроградная уретеропиелография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почек</w:t>
      </w:r>
    </w:p>
    <w:p>
      <w:pPr>
        <w:ind w:left="504"/>
      </w:pPr>
      <w:r>
        <w:rPr>
          <w:b w:val="0"/>
          <w:i/>
        </w:rPr>
        <w:t>* Рекомендуется выполнить УЗИ 1 раз в 6 мес., а контроль функции почек (радиоизотопное исследование) — 1 раз спустя 1 год после оперативного лечения.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Диагноз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Дифференциальная диагностика первичного гидронефроза проводится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опухолью мочеточника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пузырно-мочеточниковый рефлюксом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нефроптозом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опухолью почки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нефроптозом</w:t>
      </w:r>
    </w:p>
    <w:p>
      <w:pPr>
        <w:ind w:left="504"/>
      </w:pPr>
      <w:r>
        <w:rPr>
          <w:b w:val="0"/>
          <w:i/>
        </w:rPr>
        <w:t>*Комментарии:* при наличии боли дифференциальную диагностику проводят с нефроптозом. В отличие от гидронефроза при нефроптозе боль возникает при движении и физическом напряжении и быстро стихает в покое. Сравнение экскреторных урограмм в положении лёжа и стоя позволяет диагностировать нефроптоз. Стриктура ЛМС и нефроптоз могут сочетаться.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Рекомендуется выполнение чрескожной пункционной нефростомии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сочетании с конкрементом верхней группы чашечек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терминальных стадиях гидронефроза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сочетании с аденомой простаты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пузырно-мочеточниковом рефлюксе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терминальных стадиях гидронефроза</w:t>
      </w:r>
    </w:p>
    <w:p>
      <w:pPr>
        <w:ind w:left="504"/>
      </w:pPr>
      <w:r>
        <w:rPr>
          <w:b w:val="0"/>
          <w:i/>
        </w:rPr>
        <w:t>* Рекомендуется выполнение чрескожной пункционной нефростомии (ЧПНС) у пациентов со стенозом ЛМС, ГН в предоперационном периоде в терминальных стадиях гидронефроза при необходимости решения вопроса о выборе между нефрэктомией и органосохраняющей операцией.</w:t>
        <w:br/>
        <w:br/>
        <w:t>*Комментарии:*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Оценка восстановления функции почки после установки нефростомического дренажа проводится через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1-2 недели</w:t>
      </w:r>
    </w:p>
    <w:p>
      <w:pPr>
        <w:ind w:left="504"/>
      </w:pPr>
      <w:r>
        <w:rPr>
          <w:b w:val="0"/>
          <w:i/>
        </w:rPr>
        <w:t>*Комментарии:* в терминальных стадиях гидронефроза при необходимости решения вопроса о выборе между нефрэктомией и органосохраняющей операцией выполняется дренирование почки. Через 1-2 недели после дренирования исследуется очистительная и концентрационная функция пораженной почки (если был установлен нефростомический дренаж) и выполняется динамическая нефросцинтиграфия.</w:t>
        <w:br/>
        <w:br/>
      </w:r>
      <w:hyperlink r:id="rId21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Гидронефроз, 2023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17_23/" TargetMode="External"/><Relationship Id="rId22" Type="http://schemas.openxmlformats.org/officeDocument/2006/relationships/hyperlink" Target="https://library.mededtech.ru/rest/documents/KP17_23/#list_item_von104" TargetMode="External"/><Relationship Id="rId23" Type="http://schemas.openxmlformats.org/officeDocument/2006/relationships/hyperlink" Target="https://library.mededtech.ru/rest/documents/KP17_23/#list_item_4lclmu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17_23/#list_item_9dceo6" TargetMode="External"/><Relationship Id="rId26" Type="http://schemas.openxmlformats.org/officeDocument/2006/relationships/hyperlink" Target="https://library.mededtech.ru/rest/documents/KP17_23/#list_item_8mju1g" TargetMode="External"/><Relationship Id="rId27" Type="http://schemas.openxmlformats.org/officeDocument/2006/relationships/hyperlink" Target="https://library.mededtech.ru/rest/documents/KP17_23/#list_item_j4tn2a" TargetMode="External"/><Relationship Id="rId28" Type="http://schemas.openxmlformats.org/officeDocument/2006/relationships/hyperlink" Target="https://library.mededtech.ru/rest/documents/KP17_23/#paragraph_5to7p6" TargetMode="External"/><Relationship Id="rId29" Type="http://schemas.openxmlformats.org/officeDocument/2006/relationships/image" Target="media/image7.png"/><Relationship Id="rId30" Type="http://schemas.openxmlformats.org/officeDocument/2006/relationships/hyperlink" Target="https://library.mededtech.ru/rest/documents/KP17_23/#paragraph_blutoo" TargetMode="External"/><Relationship Id="rId31" Type="http://schemas.openxmlformats.org/officeDocument/2006/relationships/hyperlink" Target="https://library.mededtech.ru/rest/documents/KP17_23/#paragraph_952jg3" TargetMode="External"/><Relationship Id="rId32" Type="http://schemas.openxmlformats.org/officeDocument/2006/relationships/hyperlink" Target="https://library.mededtech.ru/rest/documents/KP17_23/#list_item_ip325p" TargetMode="External"/><Relationship Id="rId33" Type="http://schemas.openxmlformats.org/officeDocument/2006/relationships/hyperlink" Target="https://library.mededtech.ru/rest/documents/KP17_23/#paragraph_uvaf5f" TargetMode="External"/><Relationship Id="rId34" Type="http://schemas.openxmlformats.org/officeDocument/2006/relationships/hyperlink" Target="https://library.mededtech.ru/rest/documents/KP17_23/#paragraph_i39g46" TargetMode="External"/><Relationship Id="rId35" Type="http://schemas.openxmlformats.org/officeDocument/2006/relationships/hyperlink" Target="https://library.mededtech.ru/rest/documents/KP17_23/#list_item_4vvhi4" TargetMode="External"/><Relationship Id="rId36" Type="http://schemas.openxmlformats.org/officeDocument/2006/relationships/hyperlink" Target="https://library.mededtech.ru/rest/documents/KP17_23/#paragraph_o5h72g" TargetMode="External"/><Relationship Id="rId37" Type="http://schemas.openxmlformats.org/officeDocument/2006/relationships/hyperlink" Target="https://library.mededtech.ru/rest/documents/KP17_23/#list_item_3snanh" TargetMode="External"/><Relationship Id="rId38" Type="http://schemas.openxmlformats.org/officeDocument/2006/relationships/hyperlink" Target="https://library.mededtech.ru/rest/documents/KP17_23/#paragraph_1vqus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